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2F6C2" w14:textId="77777777" w:rsidR="006B317C" w:rsidRPr="00DA2424" w:rsidRDefault="006B317C" w:rsidP="006B317C">
      <w:pPr>
        <w:spacing w:after="0"/>
        <w:ind w:left="35"/>
        <w:jc w:val="right"/>
        <w:rPr>
          <w:rFonts w:ascii="Times New Roman" w:eastAsia="Calibri" w:hAnsi="Times New Roman" w:cs="Times New Roman"/>
          <w:b/>
          <w:kern w:val="3"/>
          <w:lang w:val="uk-UA" w:eastAsia="zh-CN"/>
        </w:rPr>
      </w:pPr>
      <w:bookmarkStart w:id="0" w:name="_GoBack"/>
      <w:bookmarkEnd w:id="0"/>
      <w:r w:rsidRPr="00DA2424">
        <w:rPr>
          <w:rFonts w:ascii="Times New Roman" w:eastAsia="Calibri" w:hAnsi="Times New Roman" w:cs="Times New Roman"/>
          <w:b/>
          <w:kern w:val="3"/>
          <w:lang w:val="uk-UA" w:eastAsia="zh-CN"/>
        </w:rPr>
        <w:t>«ЗАТВЕРДЖЕНО»</w:t>
      </w:r>
    </w:p>
    <w:p w14:paraId="35A17CD1" w14:textId="3B7BD5A2" w:rsidR="006B317C" w:rsidRPr="00DA2424" w:rsidRDefault="006402FA" w:rsidP="006B317C">
      <w:pPr>
        <w:spacing w:after="0"/>
        <w:ind w:left="35"/>
        <w:jc w:val="right"/>
        <w:rPr>
          <w:rFonts w:ascii="Times New Roman" w:eastAsia="Calibri" w:hAnsi="Times New Roman" w:cs="Times New Roman"/>
          <w:b/>
          <w:kern w:val="3"/>
          <w:lang w:val="uk-UA" w:eastAsia="zh-CN"/>
        </w:rPr>
      </w:pPr>
      <w:r w:rsidRPr="00DA2424">
        <w:rPr>
          <w:rFonts w:ascii="Times New Roman" w:eastAsia="Calibri" w:hAnsi="Times New Roman" w:cs="Times New Roman"/>
          <w:b/>
          <w:kern w:val="3"/>
          <w:lang w:val="uk-UA" w:eastAsia="zh-CN"/>
        </w:rPr>
        <w:t xml:space="preserve">НАКАЗОМ </w:t>
      </w:r>
    </w:p>
    <w:p w14:paraId="0F3E4003" w14:textId="3E14AA10" w:rsidR="006B317C" w:rsidRPr="00DA2424" w:rsidRDefault="006402FA" w:rsidP="006B317C">
      <w:pPr>
        <w:spacing w:after="0"/>
        <w:ind w:left="35"/>
        <w:jc w:val="right"/>
        <w:rPr>
          <w:rFonts w:ascii="Times New Roman" w:eastAsia="Calibri" w:hAnsi="Times New Roman" w:cs="Times New Roman"/>
          <w:b/>
          <w:kern w:val="3"/>
          <w:lang w:val="uk-UA" w:eastAsia="zh-CN"/>
        </w:rPr>
      </w:pPr>
      <w:r w:rsidRPr="00DA2424">
        <w:rPr>
          <w:rFonts w:ascii="Times New Roman" w:eastAsia="Calibri" w:hAnsi="Times New Roman" w:cs="Times New Roman"/>
          <w:b/>
          <w:kern w:val="3"/>
          <w:lang w:val="uk-UA" w:eastAsia="zh-CN"/>
        </w:rPr>
        <w:t>ТОВ «</w:t>
      </w:r>
      <w:r>
        <w:rPr>
          <w:rFonts w:ascii="Times New Roman" w:eastAsia="Calibri" w:hAnsi="Times New Roman" w:cs="Times New Roman"/>
          <w:b/>
          <w:kern w:val="3"/>
          <w:lang w:val="uk-UA" w:eastAsia="zh-CN"/>
        </w:rPr>
        <w:t>ФК «ЮНІВЕРСАЛ КОМПАНІ</w:t>
      </w:r>
      <w:r w:rsidRPr="00DA2424">
        <w:rPr>
          <w:rFonts w:ascii="Times New Roman" w:eastAsia="Calibri" w:hAnsi="Times New Roman" w:cs="Times New Roman"/>
          <w:b/>
          <w:kern w:val="3"/>
          <w:lang w:val="uk-UA" w:eastAsia="zh-CN"/>
        </w:rPr>
        <w:t>»</w:t>
      </w:r>
    </w:p>
    <w:p w14:paraId="5830BA19" w14:textId="77777777" w:rsidR="003B064D" w:rsidRDefault="003B064D" w:rsidP="00B462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lang w:val="uk-UA" w:eastAsia="zh-CN"/>
        </w:rPr>
      </w:pPr>
    </w:p>
    <w:p w14:paraId="7995425B" w14:textId="77777777" w:rsidR="00774AAD" w:rsidRPr="00DA2424" w:rsidRDefault="00774AAD" w:rsidP="00B462A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lang w:val="uk-UA" w:eastAsia="zh-CN"/>
        </w:rPr>
      </w:pPr>
    </w:p>
    <w:p w14:paraId="4DCF15C5" w14:textId="1C8316E3" w:rsidR="0023051D" w:rsidRPr="00DA2424" w:rsidRDefault="0023051D" w:rsidP="00B4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</w:t>
      </w:r>
    </w:p>
    <w:p w14:paraId="3A8F88BE" w14:textId="77777777" w:rsidR="00A431AA" w:rsidRPr="00DA2424" w:rsidRDefault="00B462AE" w:rsidP="00B4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</w:t>
      </w:r>
      <w:r w:rsidR="001C0ABB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ФОРМУВАН</w:t>
      </w: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1C0ABB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СIIОЖИВАЧА </w:t>
      </w:r>
      <w:r w:rsidR="00A431AA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ФІНАНСОВІ ПОСЛУГИ</w:t>
      </w:r>
    </w:p>
    <w:p w14:paraId="1EDE4990" w14:textId="16BC4145" w:rsidR="001C0ABB" w:rsidRPr="00DA2424" w:rsidRDefault="0023051D" w:rsidP="00B46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ТОВАРИСТВА</w:t>
      </w:r>
      <w:r w:rsidR="00A431AA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ОБМЕЖЕНОЮ ВІДПОВІДАЛЬНІСТЮ </w:t>
      </w:r>
      <w:r w:rsidR="00AD400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«ФІНАНСОВА КОМПАНІЯ</w:t>
      </w:r>
      <w:r w:rsidR="008E3DA3" w:rsidRPr="008E3DA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r w:rsidR="00AD4002">
        <w:rPr>
          <w:rFonts w:ascii="Times New Roman" w:hAnsi="Times New Roman" w:cs="Times New Roman"/>
          <w:b/>
          <w:bCs/>
          <w:sz w:val="24"/>
          <w:szCs w:val="24"/>
          <w:lang w:val="uk-UA"/>
        </w:rPr>
        <w:t>ЮНІВЕРСАЛ КОМПАНІ</w:t>
      </w:r>
      <w:r w:rsidR="008E3DA3" w:rsidRPr="008E3DA3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8E3DA3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 w:rsidR="001C0ABB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ПОСЛУГИ </w:t>
      </w: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="003B064D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НАДАННЯ</w:t>
      </w: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C0ABB"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СПОЖИВЧОГО КРЕДИТУ</w:t>
      </w:r>
      <w:r w:rsidRPr="00DA2424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35F07877" w14:textId="77777777" w:rsidR="00D64E7D" w:rsidRPr="00DA2424" w:rsidRDefault="00D64E7D" w:rsidP="00B46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92E2A4" w14:textId="5AFA678D" w:rsidR="001C0ABB" w:rsidRPr="00DA2424" w:rsidRDefault="0023051D" w:rsidP="001C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інформування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Споживачів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про послугу з надання споживчого 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редиту шляхом: </w:t>
      </w:r>
    </w:p>
    <w:p w14:paraId="74395874" w14:textId="386B2B4F" w:rsidR="0023051D" w:rsidRPr="00DA2424" w:rsidRDefault="00D6082A" w:rsidP="001C0A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обов'язкової 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на Веб-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F962A8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55581BE" w14:textId="4837C370" w:rsidR="00055B98" w:rsidRPr="00DA2424" w:rsidRDefault="00055B98" w:rsidP="00055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поширення реклами, у разі її виготовлення та прийняття рішення щодо її розповсюдження;</w:t>
      </w:r>
    </w:p>
    <w:p w14:paraId="09E7DB4C" w14:textId="547F5FF3" w:rsidR="0023051D" w:rsidRPr="00DA2424" w:rsidRDefault="00F962A8" w:rsidP="00055B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направлення листів (повідомлень) </w:t>
      </w:r>
      <w:r w:rsidR="00055B98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на обраний за згодою зі </w:t>
      </w:r>
      <w:proofErr w:type="spellStart"/>
      <w:r w:rsidR="00055B98" w:rsidRPr="00DA2424">
        <w:rPr>
          <w:rFonts w:ascii="Times New Roman" w:hAnsi="Times New Roman" w:cs="Times New Roman"/>
          <w:sz w:val="24"/>
          <w:szCs w:val="24"/>
          <w:lang w:val="uk-UA"/>
        </w:rPr>
        <w:t>Cпоживачем</w:t>
      </w:r>
      <w:proofErr w:type="spellEnd"/>
      <w:r w:rsidR="00055B98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канал для комунікацій</w:t>
      </w:r>
      <w:r w:rsidR="00E6637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під час користування Споживачем послугою споживчого кредиту;</w:t>
      </w:r>
    </w:p>
    <w:p w14:paraId="4F7A83BB" w14:textId="1DF4C91C" w:rsidR="001C0ABB" w:rsidRPr="00DA2424" w:rsidRDefault="00D64E7D" w:rsidP="001C0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обов'язкової 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на веб-</w:t>
      </w:r>
      <w:r w:rsidR="00D6082A" w:rsidRPr="00DA2424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>, Товариство н</w:t>
      </w:r>
      <w:r w:rsidR="00B462AE" w:rsidRPr="00DA242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462AE" w:rsidRPr="00DA242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є повну, точну та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достовірну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Споживачу щодо </w:t>
      </w:r>
      <w:r w:rsidR="00F962A8" w:rsidRPr="00DA2424">
        <w:rPr>
          <w:rFonts w:ascii="Times New Roman" w:hAnsi="Times New Roman" w:cs="Times New Roman"/>
          <w:sz w:val="24"/>
          <w:szCs w:val="24"/>
          <w:lang w:val="uk-UA"/>
        </w:rPr>
        <w:t>фінансової послуги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з дотриманням вимог Положення про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інформаційне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фінансовими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установами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споживачів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послуг споживчого кредитування, затвердженого Постановою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Національного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банку України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05 жовтня 2021 року </w:t>
      </w:r>
      <w:r w:rsidR="00B462AE" w:rsidRPr="00DA2424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100 (далі Положення №100) та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іншого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 України. Товариство забезпечу</w:t>
      </w:r>
      <w:r w:rsidR="00B462AE" w:rsidRPr="00DA242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актуальність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зрозумілість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643CBC" w14:textId="7D79AB06" w:rsidR="00581D59" w:rsidRPr="00DA2424" w:rsidRDefault="00D64E7D" w:rsidP="0058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. Товариство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інформування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Споживача на Веб-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послугу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з надання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Споживчого Кредиту розміщує попередження про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можливі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наслідки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>законодав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>ством України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Споживачів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разі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користув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>ан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цією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фінансовою</w:t>
      </w:r>
      <w:r w:rsidR="001C0ABB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послугою.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3A9B6B0" w14:textId="1D110763" w:rsidR="00581D59" w:rsidRPr="00DA2424" w:rsidRDefault="00D64E7D" w:rsidP="0058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.4. Товариство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на Веб-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щодо отримання споживчого</w:t>
      </w:r>
      <w:r w:rsidR="00B462AE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>Кредиту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обов'язково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розкриває таку </w:t>
      </w:r>
      <w:r w:rsidR="00C671B7" w:rsidRPr="00DA2424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581D59" w:rsidRPr="00DA242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A3BA4C0" w14:textId="3EAC2B71" w:rsidR="0023051D" w:rsidRPr="00DA2424" w:rsidRDefault="0023051D" w:rsidP="00581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051D" w:rsidRPr="00DA2424" w14:paraId="68C5F291" w14:textId="77777777" w:rsidTr="0023051D">
        <w:tc>
          <w:tcPr>
            <w:tcW w:w="4672" w:type="dxa"/>
          </w:tcPr>
          <w:p w14:paraId="40986EEA" w14:textId="165D5AE3" w:rsidR="0023051D" w:rsidRPr="00DA2424" w:rsidRDefault="0023051D" w:rsidP="00DE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інформації</w:t>
            </w:r>
          </w:p>
        </w:tc>
        <w:tc>
          <w:tcPr>
            <w:tcW w:w="4673" w:type="dxa"/>
          </w:tcPr>
          <w:p w14:paraId="32E3D097" w14:textId="020B3664" w:rsidR="0023051D" w:rsidRPr="00DA2424" w:rsidRDefault="00DE39A0" w:rsidP="00DE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Спосіб інформування</w:t>
            </w:r>
          </w:p>
        </w:tc>
      </w:tr>
      <w:tr w:rsidR="00090C59" w:rsidRPr="006402FA" w14:paraId="71052D98" w14:textId="77777777" w:rsidTr="0023051D">
        <w:tc>
          <w:tcPr>
            <w:tcW w:w="4672" w:type="dxa"/>
          </w:tcPr>
          <w:p w14:paraId="1162E426" w14:textId="6FEFF0BF" w:rsidR="00090C59" w:rsidRPr="00DA2424" w:rsidRDefault="00F75718" w:rsidP="00F757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різновидів споживчих Кредитів, що надаються Товариством Споживачу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19D73B28" w14:textId="44974094" w:rsidR="00C378FB" w:rsidRPr="00DA2424" w:rsidRDefault="00E66374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</w:t>
            </w:r>
            <w:r w:rsidR="00CB31AA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споживчого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кредиту, який може бути наданий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Товариством, розміщена на сайті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Товариства, у розділі «Документи»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підрозділі «Інші документи»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98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посиланнями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файли</w:t>
            </w:r>
            <w:r w:rsidR="00A2098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454E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кредитування фізичних осіб, юридичних осіб та фізичних осіб-підприємців 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«</w:t>
            </w:r>
            <w:r w:rsidR="006A51C8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Публічна інформація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1C70DE" w:rsidRPr="006402FA" w14:paraId="2CFA65E2" w14:textId="77777777" w:rsidTr="0023051D">
        <w:tc>
          <w:tcPr>
            <w:tcW w:w="4672" w:type="dxa"/>
          </w:tcPr>
          <w:p w14:paraId="644FF6F5" w14:textId="6E69CFB5" w:rsidR="001C70DE" w:rsidRPr="00DA2424" w:rsidRDefault="00F75718" w:rsidP="001C70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C70D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нформування про умови послуг з надання споживчих кредитів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6AC1EEFE" w14:textId="2AA6304A" w:rsidR="001C70DE" w:rsidRPr="00DA2424" w:rsidRDefault="00E66374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</w:t>
            </w:r>
            <w:r w:rsidR="00A2098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="00CB31AA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веб-сайті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Товариства, у розділі</w:t>
            </w:r>
            <w:r w:rsidR="00CB31AA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«Документи»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підрозділі «Інші документи»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98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посиланнями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файли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E454E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кредитування фізичних осіб, юридичних осіб та фізичних осіб-підприємців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«</w:t>
            </w:r>
            <w:r w:rsidR="006A51C8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Публічна інформація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3051D" w:rsidRPr="006402FA" w14:paraId="1D1F9FCA" w14:textId="77777777" w:rsidTr="0023051D">
        <w:tc>
          <w:tcPr>
            <w:tcW w:w="4672" w:type="dxa"/>
          </w:tcPr>
          <w:p w14:paraId="4BC5748C" w14:textId="6914B8DC" w:rsidR="00136476" w:rsidRPr="00DA2424" w:rsidRDefault="00F75718" w:rsidP="00136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647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опередження про:</w:t>
            </w:r>
          </w:p>
          <w:p w14:paraId="7114F7B9" w14:textId="77777777" w:rsidR="00136476" w:rsidRPr="00DA2424" w:rsidRDefault="00136476" w:rsidP="00F75718">
            <w:pPr>
              <w:pStyle w:val="a3"/>
              <w:numPr>
                <w:ilvl w:val="0"/>
                <w:numId w:val="3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можливі наслідки для Споживача у разі користування споживчим Кредитом або невиконання ним обов’язків згідно з Кредитним договором, уключаючи прострочення виконання зобов'язань зі сплати платежів, а також розмір неустойки, процентної ставки, інших платежів, які застосовуються чи стягуються у разі невиконання зобов’язання за Кредитним договором;</w:t>
            </w:r>
          </w:p>
          <w:p w14:paraId="4C705E61" w14:textId="77777777" w:rsidR="00136476" w:rsidRPr="00DA2424" w:rsidRDefault="00136476" w:rsidP="00F75718">
            <w:pPr>
              <w:pStyle w:val="a3"/>
              <w:numPr>
                <w:ilvl w:val="0"/>
                <w:numId w:val="3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те, що порушення виконання зобов'язання щодо повернення споживчого Кредиту може вплинути на кредитну історію та ускладнити отримання споживчого Кредиту надалі;</w:t>
            </w:r>
          </w:p>
          <w:p w14:paraId="0DE197EB" w14:textId="77777777" w:rsidR="00136476" w:rsidRPr="00DA2424" w:rsidRDefault="00136476" w:rsidP="00F75718">
            <w:pPr>
              <w:pStyle w:val="a3"/>
              <w:numPr>
                <w:ilvl w:val="0"/>
                <w:numId w:val="3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те, що Товариству забороняється вимагати від Споживача придбання будь-яких товарів чи послуг від Товариства або спорідненої чи пов'язаної з ним особи, як обов'язкову умову надання споживчого Кредиту;</w:t>
            </w:r>
          </w:p>
          <w:p w14:paraId="228DBC55" w14:textId="77777777" w:rsidR="00136476" w:rsidRPr="00DA2424" w:rsidRDefault="00136476" w:rsidP="00F75718">
            <w:pPr>
              <w:pStyle w:val="a3"/>
              <w:numPr>
                <w:ilvl w:val="0"/>
                <w:numId w:val="3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те, що для прийняття усвідомленого рішення щодо отримання споживчого Кредиту на запропонованих умовах Споживач має право розглянути альтернативні різновиди споживчих кредитів та фінансових установ;</w:t>
            </w:r>
          </w:p>
          <w:p w14:paraId="327ED7EE" w14:textId="77777777" w:rsidR="00136476" w:rsidRPr="00DA2424" w:rsidRDefault="00136476" w:rsidP="00F75718">
            <w:pPr>
              <w:pStyle w:val="a3"/>
              <w:numPr>
                <w:ilvl w:val="0"/>
                <w:numId w:val="3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те, що Товариство має право вносити зміни до укладених зі Споживачами Кредитних договорів тільки за згодою сторін;</w:t>
            </w:r>
          </w:p>
          <w:p w14:paraId="472E9123" w14:textId="77777777" w:rsidR="00136476" w:rsidRPr="00DA2424" w:rsidRDefault="00136476" w:rsidP="00F75718">
            <w:pPr>
              <w:pStyle w:val="a3"/>
              <w:numPr>
                <w:ilvl w:val="0"/>
                <w:numId w:val="3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Споживача відмовитися від отримання рекламних матеріалів засобами дистанційних каналів комунікації;</w:t>
            </w:r>
          </w:p>
          <w:p w14:paraId="370B7784" w14:textId="77777777" w:rsidR="00136476" w:rsidRPr="00DA2424" w:rsidRDefault="00136476" w:rsidP="00F75718">
            <w:pPr>
              <w:pStyle w:val="a3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те, що можливі витрати на сплату Споживачем платежів за користування споживчим Кредитом залежать від обраного Споживачем способу сплати;</w:t>
            </w:r>
          </w:p>
          <w:p w14:paraId="0CF789FB" w14:textId="1E26052A" w:rsidR="0023051D" w:rsidRPr="00DA2424" w:rsidRDefault="00136476" w:rsidP="006A51C8">
            <w:pPr>
              <w:pStyle w:val="a3"/>
              <w:numPr>
                <w:ilvl w:val="0"/>
                <w:numId w:val="1"/>
              </w:numPr>
              <w:ind w:left="4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те, що ініціювання споживачем в односторонньому порядку продовження (</w:t>
            </w:r>
            <w:proofErr w:type="spellStart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лонгації</w:t>
            </w:r>
            <w:proofErr w:type="spellEnd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пролонгації) строку погашення споживчого кредиту (строку виконання грошового зобов’язання)/строку кредитування/строку дії договору про споживчий кредит є неможливим. Продовження строку кредитування/строку дії договору/строку погашення споживчого кредиту в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односторонньому порядку споживачем (позичальником) або </w:t>
            </w:r>
            <w:proofErr w:type="spellStart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Кредитодавцем</w:t>
            </w:r>
            <w:proofErr w:type="spellEnd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допускається;</w:t>
            </w:r>
          </w:p>
        </w:tc>
        <w:tc>
          <w:tcPr>
            <w:tcW w:w="4673" w:type="dxa"/>
          </w:tcPr>
          <w:p w14:paraId="0F752BD7" w14:textId="1D06D857" w:rsidR="0023051D" w:rsidRPr="00DA2424" w:rsidRDefault="00A2098C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Розміщене</w:t>
            </w:r>
            <w:r w:rsidR="00E6637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веб-сайті Товариства, у розділі «Документи» у підрозділі «Інші 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документи» за 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E454E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кредитування фізичних осіб, юридичних осіб та фізичних осіб-підприємців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5879CC" w:rsidRPr="006402FA" w14:paraId="2E2AE24A" w14:textId="77777777" w:rsidTr="0023051D">
        <w:tc>
          <w:tcPr>
            <w:tcW w:w="4672" w:type="dxa"/>
          </w:tcPr>
          <w:p w14:paraId="477A1B40" w14:textId="0B4F6E33" w:rsidR="005879CC" w:rsidRPr="00DA2424" w:rsidRDefault="005879CC" w:rsidP="00136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Інформація, що надається споживачу згідно статей 12 та 12-1 Закону України «Про фінансові послуги та державне регулювання ринків фінансових послуг».</w:t>
            </w:r>
          </w:p>
        </w:tc>
        <w:tc>
          <w:tcPr>
            <w:tcW w:w="4673" w:type="dxa"/>
          </w:tcPr>
          <w:p w14:paraId="32742E8F" w14:textId="53FB9008" w:rsidR="005879CC" w:rsidRPr="00DA2424" w:rsidRDefault="006A51C8" w:rsidP="00721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Розміщена</w:t>
            </w:r>
            <w:r w:rsidR="00E6637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розділі «Документи» у підрозділі «Інші документи»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98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098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637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Публічна інформація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637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також у 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підрозділах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«Фінансова звітність» та «Звітність, що подається державним органам».</w:t>
            </w:r>
          </w:p>
        </w:tc>
      </w:tr>
      <w:tr w:rsidR="0023051D" w:rsidRPr="00DA2424" w14:paraId="663B01E4" w14:textId="77777777" w:rsidTr="0023051D">
        <w:tc>
          <w:tcPr>
            <w:tcW w:w="4672" w:type="dxa"/>
          </w:tcPr>
          <w:p w14:paraId="6141C333" w14:textId="7F90A728" w:rsidR="0023051D" w:rsidRPr="00DA2424" w:rsidRDefault="00A106EE" w:rsidP="00DE39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E39A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стотні характеристики послуг з надання </w:t>
            </w:r>
            <w:r w:rsidR="007E356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кожного виду </w:t>
            </w:r>
            <w:r w:rsidR="00DE39A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споживчого кредиту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E356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673" w:type="dxa"/>
          </w:tcPr>
          <w:p w14:paraId="32EA6BEC" w14:textId="1EA65FA6" w:rsidR="0023051D" w:rsidRPr="00DA2424" w:rsidRDefault="00A2098C" w:rsidP="00721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Розміщені на веб-сайті Товариства за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посиланням 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файл 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«Інформація про істотні характеристики послуги з надання споживчого кредиту (без застави)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підрозділі «Інші документи» розділу</w:t>
            </w:r>
            <w:r w:rsidR="00721110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56B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«Документи»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3051D" w:rsidRPr="006402FA" w14:paraId="6FDA0C82" w14:textId="77777777" w:rsidTr="0023051D">
        <w:tc>
          <w:tcPr>
            <w:tcW w:w="4672" w:type="dxa"/>
          </w:tcPr>
          <w:p w14:paraId="00C47AC6" w14:textId="0734C90E" w:rsidR="0023051D" w:rsidRPr="00DA2424" w:rsidRDefault="00A106EE" w:rsidP="00450A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673B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римірна форма </w:t>
            </w:r>
            <w:r w:rsidR="00450A58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Кредитного договору щодо надання споживчого щодо кожного виду споживчого кредиту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0CA6A379" w14:textId="0265836C" w:rsidR="0023051D" w:rsidRPr="00DA2424" w:rsidRDefault="00A2098C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Розміщена на веб-сайті Товариства за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Примірний договір про відкриття кредитної лінії для фізичних осіб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</w:tc>
      </w:tr>
      <w:tr w:rsidR="0023051D" w:rsidRPr="006402FA" w14:paraId="752C4FFE" w14:textId="77777777" w:rsidTr="0023051D">
        <w:tc>
          <w:tcPr>
            <w:tcW w:w="4672" w:type="dxa"/>
          </w:tcPr>
          <w:p w14:paraId="1B1EBB5F" w14:textId="0EE5B3C6" w:rsidR="0023051D" w:rsidRPr="00DA2424" w:rsidRDefault="00A106EE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50A58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озміщення внутрішніх правил надання фінансових послуг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0506E92E" w14:textId="0B6F82A1" w:rsidR="0023051D" w:rsidRPr="00DA2424" w:rsidRDefault="00A2098C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Розміщені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відкриття кредитної лінії для фізичних осіб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</w:tc>
      </w:tr>
      <w:tr w:rsidR="00AD5234" w:rsidRPr="00DA2424" w14:paraId="05F2E6E8" w14:textId="77777777" w:rsidTr="0023051D">
        <w:tc>
          <w:tcPr>
            <w:tcW w:w="4672" w:type="dxa"/>
          </w:tcPr>
          <w:p w14:paraId="38FDE9A2" w14:textId="73A10B15" w:rsidR="00AD5234" w:rsidRPr="00DA2424" w:rsidRDefault="00AD5234" w:rsidP="00AD52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паспорту споживчого кредиту на виконання вимог статті 9 Закону України «Про споживче кредитування».</w:t>
            </w:r>
          </w:p>
        </w:tc>
        <w:tc>
          <w:tcPr>
            <w:tcW w:w="4673" w:type="dxa"/>
          </w:tcPr>
          <w:p w14:paraId="7FF8C6E3" w14:textId="4FF31D67" w:rsidR="00AD5234" w:rsidRPr="00DA2424" w:rsidRDefault="00A2098C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Розміщені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 за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Паспорт споживчого кредиту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</w:tc>
      </w:tr>
      <w:tr w:rsidR="00090C59" w:rsidRPr="006402FA" w14:paraId="76ED745E" w14:textId="77777777" w:rsidTr="0023051D">
        <w:tc>
          <w:tcPr>
            <w:tcW w:w="4672" w:type="dxa"/>
          </w:tcPr>
          <w:p w14:paraId="124DA88A" w14:textId="62C730FC" w:rsidR="00090C59" w:rsidRPr="00DA2424" w:rsidRDefault="001D3718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отримання акційної та інших аналогічних за змістом пропозицій, уключаючи термін їх дії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48476B55" w14:textId="3CBBCAC1" w:rsidR="00090C59" w:rsidRPr="00DA2424" w:rsidRDefault="00A2098C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Акційні та аналогічні за змістом пропозиції у Товариства відсутні, про що </w:t>
            </w:r>
            <w:r w:rsidR="00F53DE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зазначено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</w:t>
            </w:r>
            <w:r w:rsidR="00F53DE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="00F53DE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E454E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кредитування фізичних осіб, юридичних осіб та фізичних осіб-підприємців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090C59" w:rsidRPr="00DA2424" w14:paraId="01B1BE0D" w14:textId="77777777" w:rsidTr="0023051D">
        <w:tc>
          <w:tcPr>
            <w:tcW w:w="4672" w:type="dxa"/>
          </w:tcPr>
          <w:p w14:paraId="1AD4A8E7" w14:textId="4217DA5A" w:rsidR="00090C59" w:rsidRPr="00DA2424" w:rsidRDefault="007433CA" w:rsidP="00090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 (ліміт), на яку (який) може бути наданий споживчий Кредит (від мінімального розміру до максимального), строк користування нею (ним) (від мінімального значення, до</w:t>
            </w:r>
          </w:p>
          <w:p w14:paraId="39BC0924" w14:textId="282073B5" w:rsidR="00090C59" w:rsidRPr="00DA2424" w:rsidRDefault="00090C59" w:rsidP="00090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максимального)</w:t>
            </w:r>
            <w:r w:rsidR="007433CA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0D154268" w14:textId="19F5964C" w:rsidR="00504A99" w:rsidRPr="00DA2424" w:rsidRDefault="00A2098C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Розміщена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 за 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="006F7B7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C6C71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істотні характеристики послуги з надання споживчого кредиту (без застави)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  <w:p w14:paraId="57C54F8D" w14:textId="77777777" w:rsidR="006F7B75" w:rsidRPr="00DA2424" w:rsidRDefault="006F7B75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F2DC61" w14:textId="0B5E3093" w:rsidR="00504A99" w:rsidRPr="00DA2424" w:rsidRDefault="00504A99" w:rsidP="00504A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Також зазначається у Паспорті споживчого кредиту, який розміще</w:t>
            </w:r>
            <w:r w:rsidR="006964A8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на веб-сайті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Товариства за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6A354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Паспорт споживчого кредиту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  <w:p w14:paraId="7DB77288" w14:textId="042BD738" w:rsidR="00504A99" w:rsidRPr="00DA2424" w:rsidRDefault="00504A99" w:rsidP="006F7B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0C59" w:rsidRPr="006402FA" w14:paraId="18112EF6" w14:textId="77777777" w:rsidTr="0023051D">
        <w:tc>
          <w:tcPr>
            <w:tcW w:w="4672" w:type="dxa"/>
          </w:tcPr>
          <w:p w14:paraId="6242DE74" w14:textId="0E288444" w:rsidR="00090C59" w:rsidRPr="00DA2424" w:rsidRDefault="006964A8" w:rsidP="00090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наявність, перелік i вартість супровідних послуг Товариства, кредитних посередників та третіх осіб, уключаючи розмір платежу та базу його розрахунку, з урахуван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 вимог законодавства України.</w:t>
            </w:r>
          </w:p>
        </w:tc>
        <w:tc>
          <w:tcPr>
            <w:tcW w:w="4673" w:type="dxa"/>
          </w:tcPr>
          <w:p w14:paraId="59574594" w14:textId="77777777" w:rsidR="00090C59" w:rsidRPr="00DA2424" w:rsidRDefault="006964A8" w:rsidP="00696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Оскільки Товариство не вимагає надання власних супровідних послуг або супровідних послуг третіх осіб при отриманні споживачем кредиту, а також не користується послугами кредитних посередників, інформація про перелік та вартість таких послуг є відсутньою. </w:t>
            </w:r>
          </w:p>
          <w:p w14:paraId="019766DC" w14:textId="77777777" w:rsidR="00E00CC7" w:rsidRPr="00DA2424" w:rsidRDefault="00E00CC7" w:rsidP="006964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5CE02F" w14:textId="377A1E71" w:rsidR="00E00CC7" w:rsidRPr="00DA2424" w:rsidRDefault="00E00CC7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відсутність супровідних послуг та послуг кредитних посередників вказується у Паспорті споживчого кредиту, 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розміщений на веб-сайті Товариства за гіперпосиланням на відповідний файл «</w:t>
            </w:r>
            <w:r w:rsidR="008C6C71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Паспорт споживчого кредиту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</w:tc>
      </w:tr>
      <w:tr w:rsidR="0023051D" w:rsidRPr="006402FA" w14:paraId="1A3D704E" w14:textId="77777777" w:rsidTr="0023051D">
        <w:tc>
          <w:tcPr>
            <w:tcW w:w="4672" w:type="dxa"/>
          </w:tcPr>
          <w:p w14:paraId="4005ABA6" w14:textId="3E069945" w:rsidR="0023051D" w:rsidRPr="00DA2424" w:rsidRDefault="005308C0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50A58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опередження про можливість та умови дострокового розірвання договорів, спосіб такого розірвання договорів, строки та умови повернення коштів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3496DA32" w14:textId="62EEA0E0" w:rsidR="0023051D" w:rsidRPr="00DA2424" w:rsidRDefault="000B1DF7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Розміщене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посиланням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файли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8C6C71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істотні характеристики послуги з надання споживчого кредиту (без застави)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«</w:t>
            </w:r>
            <w:r w:rsidR="00E454E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кредитування фізичних осіб, юридичних осіб та фізичних осіб-підприємців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</w:tc>
      </w:tr>
      <w:tr w:rsidR="0023051D" w:rsidRPr="00DA2424" w14:paraId="4CC54012" w14:textId="77777777" w:rsidTr="0023051D">
        <w:tc>
          <w:tcPr>
            <w:tcW w:w="4672" w:type="dxa"/>
          </w:tcPr>
          <w:p w14:paraId="420A2665" w14:textId="5EE14EB1" w:rsidR="0023051D" w:rsidRPr="00DA2424" w:rsidRDefault="00AB7CC9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647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порядок i процедуру захисту персональних даних споживачів (уключаючи витяги з них)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1A6FC42A" w14:textId="4D22071F" w:rsidR="0023051D" w:rsidRPr="00DA2424" w:rsidRDefault="008F0659" w:rsidP="00E71D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р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озміщен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веб-сайті Товариства за 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866B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обробки і захисту персональних даних</w:t>
            </w:r>
            <w:r w:rsidR="003456B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</w:t>
            </w:r>
            <w:r w:rsidR="00E67829" w:rsidRPr="00E678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про конфіденційність для користувачів сайту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</w:t>
            </w:r>
            <w:r w:rsidRPr="00224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</w:t>
            </w:r>
            <w:r w:rsidR="00F82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224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обробки та захисту персональних даних у базах персональних даних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1DF7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«Документи».</w:t>
            </w:r>
          </w:p>
        </w:tc>
      </w:tr>
      <w:tr w:rsidR="0023051D" w:rsidRPr="00DA2424" w14:paraId="51ADDD5D" w14:textId="77777777" w:rsidTr="0023051D">
        <w:tc>
          <w:tcPr>
            <w:tcW w:w="4672" w:type="dxa"/>
          </w:tcPr>
          <w:p w14:paraId="4637D0F3" w14:textId="3B6E5A7A" w:rsidR="0023051D" w:rsidRPr="00DA2424" w:rsidRDefault="00AB7CC9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орядок розгляду звернень споживачів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6657CF05" w14:textId="74027844" w:rsidR="0023051D" w:rsidRPr="00DA2424" w:rsidRDefault="000B1DF7" w:rsidP="000B07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Розміщений на веб-сайті Товариства за посиланням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файл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A242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розгляду звернень </w:t>
            </w:r>
            <w:r w:rsid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споживачів послуг</w:t>
            </w:r>
            <w:r w:rsidR="008C6C71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осіб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B070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підрозділі «Інші документи» розділу «Документи»</w:t>
            </w:r>
          </w:p>
        </w:tc>
      </w:tr>
      <w:tr w:rsidR="00090C59" w:rsidRPr="00DA2424" w14:paraId="181D5AFD" w14:textId="77777777" w:rsidTr="0023051D">
        <w:tc>
          <w:tcPr>
            <w:tcW w:w="4672" w:type="dxa"/>
          </w:tcPr>
          <w:p w14:paraId="544FCFA4" w14:textId="5F83B272" w:rsidR="00090C59" w:rsidRPr="00DA2424" w:rsidRDefault="00136476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гіперпосилання на сторінку офіційного інтернет-представництва Національного банку України, на якій розміщено Державний реєстр фінансових установ</w:t>
            </w:r>
          </w:p>
        </w:tc>
        <w:tc>
          <w:tcPr>
            <w:tcW w:w="4673" w:type="dxa"/>
          </w:tcPr>
          <w:p w14:paraId="14DDB2B4" w14:textId="528F51AF" w:rsidR="00AB7CC9" w:rsidRPr="00DA2424" w:rsidRDefault="000B1DF7" w:rsidP="000B1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Розміщене на веб-сайті Товариства за посиланням на файл </w:t>
            </w:r>
            <w:r w:rsidR="0023219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Публічна інформація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232195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підрозділі «Інші документи» розділу «Документи»</w:t>
            </w:r>
          </w:p>
        </w:tc>
      </w:tr>
      <w:tr w:rsidR="00090C59" w:rsidRPr="006402FA" w14:paraId="2B69B20F" w14:textId="77777777" w:rsidTr="0023051D">
        <w:tc>
          <w:tcPr>
            <w:tcW w:w="4672" w:type="dxa"/>
          </w:tcPr>
          <w:p w14:paraId="7A0C8A22" w14:textId="6B10C40E" w:rsidR="00090C59" w:rsidRPr="00DA2424" w:rsidRDefault="006D7F56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овідомлення про </w:t>
            </w:r>
            <w:proofErr w:type="spellStart"/>
            <w:r w:rsidR="00090C59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лонгацію</w:t>
            </w:r>
            <w:proofErr w:type="spellEnd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4E1C36A8" w14:textId="779EAAAE" w:rsidR="00090C59" w:rsidRPr="00DA2424" w:rsidRDefault="00CD4DDC" w:rsidP="00774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Договором не</w:t>
            </w:r>
            <w:r w:rsidR="006D7F5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передбачено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можливості </w:t>
            </w:r>
            <w:proofErr w:type="spellStart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лонгації</w:t>
            </w:r>
            <w:proofErr w:type="spellEnd"/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Договору інакше як за згодою сторін,</w:t>
            </w:r>
            <w:r w:rsidR="006D7F5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що зазначено на веб-сайті Товариства за посиланнями на файли «Інформація про істотні характеристики послуги з надання споживчого кредиту (без застави)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«</w:t>
            </w:r>
            <w:r w:rsidR="00E454E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кредитування фізичних осіб, юридичних осіб та фізичних осіб-підприємців 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</w:t>
            </w:r>
            <w:r w:rsidR="008E3D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«ФК «</w:t>
            </w:r>
            <w:r w:rsidR="00AD4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ЮНІВЕРСАЛ КОМПАНІ</w:t>
            </w:r>
            <w:r w:rsidR="008E3DA3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підрозділі «Інші документи» розділу «Документи».</w:t>
            </w:r>
          </w:p>
        </w:tc>
      </w:tr>
      <w:tr w:rsidR="00090C59" w:rsidRPr="00DA2424" w14:paraId="1688042D" w14:textId="77777777" w:rsidTr="0023051D">
        <w:tc>
          <w:tcPr>
            <w:tcW w:w="4672" w:type="dxa"/>
          </w:tcPr>
          <w:p w14:paraId="65E7FC56" w14:textId="5583C404" w:rsidR="00090C59" w:rsidRPr="00DA2424" w:rsidRDefault="006D7F56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6476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овідомлення з рекомендацією негайного інформування Споживачем Товариства про несанкціонований доступ або зміну інформації Споживача в системах дистанційного обслуговування Товариства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3" w:type="dxa"/>
          </w:tcPr>
          <w:p w14:paraId="0FC8699A" w14:textId="6081A9DD" w:rsidR="006D7F56" w:rsidRPr="00DA2424" w:rsidRDefault="000B1DF7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вказано у зв’язку із тим, що с</w:t>
            </w:r>
            <w:r w:rsidR="00CA59E4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истеми дистанційного обслуговування у Товариства </w:t>
            </w:r>
            <w:r w:rsidR="003F226E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36476" w:rsidRPr="00DA2424" w14:paraId="67EA9164" w14:textId="77777777" w:rsidTr="0023051D">
        <w:tc>
          <w:tcPr>
            <w:tcW w:w="4672" w:type="dxa"/>
          </w:tcPr>
          <w:p w14:paraId="32145F0F" w14:textId="279911D4" w:rsidR="00136476" w:rsidRPr="00DA2424" w:rsidRDefault="00136476" w:rsidP="00581D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Калькулятор</w:t>
            </w:r>
          </w:p>
        </w:tc>
        <w:tc>
          <w:tcPr>
            <w:tcW w:w="4673" w:type="dxa"/>
          </w:tcPr>
          <w:p w14:paraId="66B0C222" w14:textId="7E098B51" w:rsidR="005D508F" w:rsidRPr="00DA2424" w:rsidRDefault="00E71D86" w:rsidP="005D50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  <w:r w:rsidR="005D508F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веб-сайті Товариства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Буде розміщений в строк, передбачений Постановою №100 Правління </w:t>
            </w:r>
            <w:r w:rsidR="00CD4DDC"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Національного</w:t>
            </w:r>
            <w:r w:rsidRPr="00DA2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банку України.</w:t>
            </w:r>
          </w:p>
          <w:p w14:paraId="528F8B94" w14:textId="1FD9196A" w:rsidR="00136476" w:rsidRPr="00DA2424" w:rsidRDefault="00136476" w:rsidP="007F40E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27826A49" w14:textId="4E815AED" w:rsidR="00D64E7D" w:rsidRPr="00DA2424" w:rsidRDefault="00213FA4" w:rsidP="002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4.5. </w:t>
      </w:r>
      <w:r w:rsidR="00D64E7D" w:rsidRPr="00DA2424">
        <w:rPr>
          <w:rFonts w:ascii="Times New Roman" w:hAnsi="Times New Roman" w:cs="Times New Roman"/>
          <w:sz w:val="24"/>
          <w:szCs w:val="24"/>
          <w:lang w:val="uk-UA"/>
        </w:rPr>
        <w:t>У випадках, передбачених чинним законодавством України, Товариство розкриває також іншу інформацію в порядку та спосіб, визначені вимогами законодавства України.</w:t>
      </w:r>
    </w:p>
    <w:p w14:paraId="388A76DF" w14:textId="49A33CF9" w:rsidR="00213FA4" w:rsidRPr="00DA2424" w:rsidRDefault="00D64E7D" w:rsidP="002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4.6. 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інформування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Споживача в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частині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шире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>ння реклами з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>рахуванням вимог законодавства Укра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ни про рекламу, споживче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кредитування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та про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улювання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з надання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послуг. Товар</w:t>
      </w:r>
      <w:r w:rsidR="00B462AE" w:rsidRPr="00DA24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>ству забороня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час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інформування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Споживачів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про умови надання споживчого Кредиту шляхом пошир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реклами надавати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спосіб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>, що ускладню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2D29" w:rsidRPr="00DA2424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візуальне</w:t>
      </w:r>
      <w:r w:rsidR="00213FA4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сприйняття.</w:t>
      </w:r>
    </w:p>
    <w:p w14:paraId="36CEEFB9" w14:textId="77777777" w:rsidR="00D64E7D" w:rsidRPr="00DA2424" w:rsidRDefault="00D64E7D" w:rsidP="002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4.7. В рекламі споживчих кредитів Товариство обов'язково вказує наступну інформацію:</w:t>
      </w:r>
    </w:p>
    <w:p w14:paraId="256F89B6" w14:textId="2B45F818" w:rsidR="00D64E7D" w:rsidRPr="00DA2424" w:rsidRDefault="00D64E7D" w:rsidP="00D64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максимальну суму, на який може бути виданий кредит;</w:t>
      </w:r>
    </w:p>
    <w:p w14:paraId="364B81E6" w14:textId="5B1C1EFE" w:rsidR="00D64E7D" w:rsidRPr="00DA2424" w:rsidRDefault="00D64E7D" w:rsidP="00D64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реальна річна процентна ставка;</w:t>
      </w:r>
    </w:p>
    <w:p w14:paraId="60DDD7D4" w14:textId="44A57A7A" w:rsidR="00D64E7D" w:rsidRPr="00DA2424" w:rsidRDefault="00D64E7D" w:rsidP="00D64E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максимальний строк на який видається кредит.</w:t>
      </w:r>
    </w:p>
    <w:p w14:paraId="4068A658" w14:textId="57D4BA71" w:rsidR="00213FA4" w:rsidRPr="00DA2424" w:rsidRDefault="00213FA4" w:rsidP="002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4.8. </w:t>
      </w:r>
      <w:proofErr w:type="spellStart"/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Кредитодавець</w:t>
      </w:r>
      <w:proofErr w:type="spellEnd"/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інформує споживача про загальні умови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Кредитн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догов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споживчого Кредиту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шляхом розміщення 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Товариством 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тексту примірного договору 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>на Веб-</w:t>
      </w:r>
      <w:proofErr w:type="spellStart"/>
      <w:r w:rsidRPr="00DA2424">
        <w:rPr>
          <w:rFonts w:ascii="Times New Roman" w:hAnsi="Times New Roman" w:cs="Times New Roman"/>
          <w:sz w:val="24"/>
          <w:szCs w:val="24"/>
          <w:lang w:val="uk-UA"/>
        </w:rPr>
        <w:t>сайтi</w:t>
      </w:r>
      <w:proofErr w:type="spellEnd"/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. Про конкретні індивідуальні умови Кредитного договору щодо надання споживчого Кредиту, на яких споживачу Товариство пропонує укласти Кредитний договір Товариство інформує споживача нада</w:t>
      </w:r>
      <w:r w:rsidR="00997FE5" w:rsidRPr="00DA2424">
        <w:rPr>
          <w:rFonts w:ascii="Times New Roman" w:hAnsi="Times New Roman" w:cs="Times New Roman"/>
          <w:sz w:val="24"/>
          <w:szCs w:val="24"/>
          <w:lang w:val="uk-UA"/>
        </w:rPr>
        <w:t>ючи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споживачу </w:t>
      </w:r>
      <w:r w:rsidR="00232195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на обраний за погодженням зі споживачем канал для комунікацій. </w:t>
      </w:r>
      <w:r w:rsidR="00997FE5" w:rsidRPr="00DA242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87B4E" w:rsidRPr="00DA2424">
        <w:rPr>
          <w:rFonts w:ascii="Times New Roman" w:hAnsi="Times New Roman" w:cs="Times New Roman"/>
          <w:sz w:val="24"/>
          <w:szCs w:val="24"/>
          <w:lang w:val="uk-UA"/>
        </w:rPr>
        <w:t>ісля укладення Кредитного договору</w:t>
      </w:r>
      <w:r w:rsidR="00997FE5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Товариство інформує споживача про укладений договір наступним чином: направляє споживачу примірник Договору з додатками до нього у вигляді </w:t>
      </w:r>
      <w:r w:rsidR="00232195" w:rsidRPr="00DA2424">
        <w:rPr>
          <w:rFonts w:ascii="Times New Roman" w:hAnsi="Times New Roman" w:cs="Times New Roman"/>
          <w:sz w:val="24"/>
          <w:szCs w:val="24"/>
          <w:lang w:val="uk-UA"/>
        </w:rPr>
        <w:t>письмового</w:t>
      </w:r>
      <w:r w:rsidR="00997FE5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</w:t>
      </w:r>
      <w:r w:rsidR="00232195" w:rsidRPr="00DA2424">
        <w:rPr>
          <w:rFonts w:ascii="Times New Roman" w:hAnsi="Times New Roman" w:cs="Times New Roman"/>
          <w:sz w:val="24"/>
          <w:szCs w:val="24"/>
          <w:lang w:val="uk-UA"/>
        </w:rPr>
        <w:t>на адресу споживача або передає особисто споживачу</w:t>
      </w:r>
      <w:r w:rsidR="00997FE5" w:rsidRPr="00DA24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99824B" w14:textId="65119E75" w:rsidR="00DB334D" w:rsidRPr="00DA2424" w:rsidRDefault="00DB334D" w:rsidP="00DB3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4.9. Товариство інформує Споживача під час користування послугою з надання споживчого</w:t>
      </w:r>
      <w:r w:rsidR="00232195"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2424">
        <w:rPr>
          <w:rFonts w:ascii="Times New Roman" w:hAnsi="Times New Roman" w:cs="Times New Roman"/>
          <w:sz w:val="24"/>
          <w:szCs w:val="24"/>
          <w:lang w:val="uk-UA"/>
        </w:rPr>
        <w:t xml:space="preserve">Кредиту про необхідність здійснення платежів за кредитом, про їх суму, процентну ставку, програми лояльності тощо шляхом відправлення на обраний за погодженням зі Споживачем канал для комунікацій (уключаючи SMS-інформування, </w:t>
      </w:r>
      <w:proofErr w:type="spellStart"/>
      <w:r w:rsidRPr="00DA2424">
        <w:rPr>
          <w:rFonts w:ascii="Times New Roman" w:hAnsi="Times New Roman" w:cs="Times New Roman"/>
          <w:sz w:val="24"/>
          <w:szCs w:val="24"/>
          <w:lang w:val="uk-UA"/>
        </w:rPr>
        <w:t>месенджери</w:t>
      </w:r>
      <w:proofErr w:type="spellEnd"/>
      <w:r w:rsidRPr="00DA2424">
        <w:rPr>
          <w:rFonts w:ascii="Times New Roman" w:hAnsi="Times New Roman" w:cs="Times New Roman"/>
          <w:sz w:val="24"/>
          <w:szCs w:val="24"/>
          <w:lang w:val="uk-UA"/>
        </w:rPr>
        <w:t>, електронну пошту).</w:t>
      </w:r>
    </w:p>
    <w:p w14:paraId="2C192A7B" w14:textId="6FC28026" w:rsidR="00027160" w:rsidRPr="00DA2424" w:rsidRDefault="00027160" w:rsidP="00BA6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A2424">
        <w:rPr>
          <w:rFonts w:ascii="Times New Roman" w:hAnsi="Times New Roman" w:cs="Times New Roman"/>
          <w:sz w:val="24"/>
          <w:szCs w:val="24"/>
          <w:lang w:val="uk-UA"/>
        </w:rPr>
        <w:t>* * *</w:t>
      </w:r>
    </w:p>
    <w:sectPr w:rsidR="00027160" w:rsidRPr="00DA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3CC7"/>
    <w:multiLevelType w:val="hybridMultilevel"/>
    <w:tmpl w:val="ECAACEF4"/>
    <w:lvl w:ilvl="0" w:tplc="24089B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42EEB"/>
    <w:multiLevelType w:val="hybridMultilevel"/>
    <w:tmpl w:val="5094A406"/>
    <w:lvl w:ilvl="0" w:tplc="24089B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E4072"/>
    <w:multiLevelType w:val="hybridMultilevel"/>
    <w:tmpl w:val="242C2102"/>
    <w:lvl w:ilvl="0" w:tplc="D4F08E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F423F"/>
    <w:multiLevelType w:val="hybridMultilevel"/>
    <w:tmpl w:val="51A0C2D4"/>
    <w:lvl w:ilvl="0" w:tplc="24089B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74A61"/>
    <w:multiLevelType w:val="hybridMultilevel"/>
    <w:tmpl w:val="6CC063F6"/>
    <w:lvl w:ilvl="0" w:tplc="24089B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14AE"/>
    <w:multiLevelType w:val="hybridMultilevel"/>
    <w:tmpl w:val="387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5D"/>
    <w:rsid w:val="00027160"/>
    <w:rsid w:val="000530D9"/>
    <w:rsid w:val="00055B98"/>
    <w:rsid w:val="00090C59"/>
    <w:rsid w:val="000B0704"/>
    <w:rsid w:val="000B1DF7"/>
    <w:rsid w:val="00136476"/>
    <w:rsid w:val="001673BC"/>
    <w:rsid w:val="001C0ABB"/>
    <w:rsid w:val="001C70DE"/>
    <w:rsid w:val="001D3718"/>
    <w:rsid w:val="00213FA4"/>
    <w:rsid w:val="0022400C"/>
    <w:rsid w:val="0023051D"/>
    <w:rsid w:val="00232195"/>
    <w:rsid w:val="002866B4"/>
    <w:rsid w:val="00287B4E"/>
    <w:rsid w:val="002A094D"/>
    <w:rsid w:val="003456B6"/>
    <w:rsid w:val="003B064D"/>
    <w:rsid w:val="003F226E"/>
    <w:rsid w:val="00450A58"/>
    <w:rsid w:val="00474332"/>
    <w:rsid w:val="004F7C5A"/>
    <w:rsid w:val="00504A99"/>
    <w:rsid w:val="005308C0"/>
    <w:rsid w:val="00581D59"/>
    <w:rsid w:val="005879CC"/>
    <w:rsid w:val="005D508F"/>
    <w:rsid w:val="006402FA"/>
    <w:rsid w:val="0069525F"/>
    <w:rsid w:val="006964A8"/>
    <w:rsid w:val="006A3546"/>
    <w:rsid w:val="006A51C8"/>
    <w:rsid w:val="006B317C"/>
    <w:rsid w:val="006C125D"/>
    <w:rsid w:val="006D7F56"/>
    <w:rsid w:val="006F7B75"/>
    <w:rsid w:val="00721110"/>
    <w:rsid w:val="007433CA"/>
    <w:rsid w:val="00774AAD"/>
    <w:rsid w:val="007E3564"/>
    <w:rsid w:val="007F40E7"/>
    <w:rsid w:val="008C0E6F"/>
    <w:rsid w:val="008C6C71"/>
    <w:rsid w:val="008E3DA3"/>
    <w:rsid w:val="008F0659"/>
    <w:rsid w:val="00915AA1"/>
    <w:rsid w:val="00951D5A"/>
    <w:rsid w:val="00986F61"/>
    <w:rsid w:val="00997FE5"/>
    <w:rsid w:val="00A106EE"/>
    <w:rsid w:val="00A2098C"/>
    <w:rsid w:val="00A431AA"/>
    <w:rsid w:val="00A6178B"/>
    <w:rsid w:val="00A709F7"/>
    <w:rsid w:val="00AB7CC9"/>
    <w:rsid w:val="00AD4002"/>
    <w:rsid w:val="00AD5234"/>
    <w:rsid w:val="00B26B72"/>
    <w:rsid w:val="00B462AE"/>
    <w:rsid w:val="00B557AB"/>
    <w:rsid w:val="00BA6881"/>
    <w:rsid w:val="00C378FB"/>
    <w:rsid w:val="00C416BC"/>
    <w:rsid w:val="00C671B7"/>
    <w:rsid w:val="00C82D29"/>
    <w:rsid w:val="00C8621B"/>
    <w:rsid w:val="00CA24DC"/>
    <w:rsid w:val="00CA59E4"/>
    <w:rsid w:val="00CB31AA"/>
    <w:rsid w:val="00CD4DDC"/>
    <w:rsid w:val="00CE55B8"/>
    <w:rsid w:val="00D6082A"/>
    <w:rsid w:val="00D64E7D"/>
    <w:rsid w:val="00DA2424"/>
    <w:rsid w:val="00DB334D"/>
    <w:rsid w:val="00DD134D"/>
    <w:rsid w:val="00DE39A0"/>
    <w:rsid w:val="00E00CC7"/>
    <w:rsid w:val="00E445BF"/>
    <w:rsid w:val="00E44960"/>
    <w:rsid w:val="00E454EE"/>
    <w:rsid w:val="00E66374"/>
    <w:rsid w:val="00E67829"/>
    <w:rsid w:val="00E71D86"/>
    <w:rsid w:val="00F53DEC"/>
    <w:rsid w:val="00F75718"/>
    <w:rsid w:val="00F826BD"/>
    <w:rsid w:val="00F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0CF5"/>
  <w15:docId w15:val="{1CA4CE30-9BAF-094E-9FD1-BC1BAD8B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2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462A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86F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39"/>
    <w:rsid w:val="0023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51D5A"/>
    <w:rPr>
      <w:b/>
      <w:bCs/>
    </w:rPr>
  </w:style>
  <w:style w:type="paragraph" w:customStyle="1" w:styleId="Standard">
    <w:name w:val="Standard"/>
    <w:rsid w:val="0002716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val="en-US" w:eastAsia="zh-CN"/>
    </w:rPr>
  </w:style>
  <w:style w:type="character" w:styleId="a7">
    <w:name w:val="annotation reference"/>
    <w:basedOn w:val="a0"/>
    <w:uiPriority w:val="99"/>
    <w:semiHidden/>
    <w:unhideWhenUsed/>
    <w:rsid w:val="00915A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5A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5AA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5A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5AA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1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5AA1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DA2424"/>
    <w:pPr>
      <w:spacing w:after="0" w:line="240" w:lineRule="auto"/>
    </w:pPr>
  </w:style>
  <w:style w:type="character" w:customStyle="1" w:styleId="10">
    <w:name w:val="Незакрита згадка1"/>
    <w:basedOn w:val="a0"/>
    <w:uiPriority w:val="99"/>
    <w:semiHidden/>
    <w:unhideWhenUsed/>
    <w:rsid w:val="008F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7428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Olha Fedorovych</dc:creator>
  <cp:lastModifiedBy>Max</cp:lastModifiedBy>
  <cp:revision>3</cp:revision>
  <cp:lastPrinted>2022-09-07T18:06:00Z</cp:lastPrinted>
  <dcterms:created xsi:type="dcterms:W3CDTF">2022-10-08T08:21:00Z</dcterms:created>
  <dcterms:modified xsi:type="dcterms:W3CDTF">2022-10-09T20:10:00Z</dcterms:modified>
</cp:coreProperties>
</file>